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20"/>
        <w:jc w:val="center"/>
      </w:pPr>
      <w:r>
        <w:rPr>
          <w:rFonts w:ascii="Arial" w:cs="Arial" w:eastAsia="Arial" w:hAnsi="Arial"/>
          <w:b/>
          <w:bCs/>
          <w:color w:val="A80000"/>
          <w:sz w:val="36"/>
          <w:szCs w:val="36"/>
        </w:rPr>
        <w:t xml:space="preserve">CAPABILITY STATEMENT</w:t>
      </w:r>
    </w:p>
    <w:p>
      <w:pPr>
        <w:spacing w:before="0" w:after="10"/>
        <w:jc w:val="center"/>
      </w:pPr>
      <w:r>
        <w:rPr>
          <w:rFonts w:ascii="Arial" w:cs="Arial" w:eastAsia="Arial" w:hAnsi="Arial"/>
          <w:b/>
          <w:bCs/>
          <w:color w:val="1A1A1A"/>
          <w:sz w:val="26"/>
          <w:szCs w:val="26"/>
        </w:rPr>
        <w:t xml:space="preserve">T L Bright Consulting LLC</w:t>
      </w:r>
    </w:p>
    <w:p>
      <w:pPr>
        <w:spacing w:before="0" w:after="10"/>
        <w:jc w:val="center"/>
      </w:pPr>
      <w:r>
        <w:rPr>
          <w:rFonts w:ascii="Arial" w:cs="Arial" w:eastAsia="Arial" w:hAnsi="Arial"/>
          <w:color w:val="5A5A5A"/>
          <w:sz w:val="19"/>
          <w:szCs w:val="19"/>
        </w:rPr>
        <w:t xml:space="preserve">Cybersecurity &amp; Technology Advisory  •  Leadership Development &amp; Workforce Training  •  Digital Transformation</w:t>
      </w:r>
    </w:p>
    <w:p>
      <w:pPr>
        <w:spacing w:before="0" w:after="100"/>
        <w:jc w:val="center"/>
      </w:pPr>
      <w:r>
        <w:rPr>
          <w:rFonts w:ascii="Arial" w:cs="Arial" w:eastAsia="Arial" w:hAnsi="Arial"/>
          <w:color w:val="5A5A5A"/>
          <w:sz w:val="18"/>
          <w:szCs w:val="18"/>
        </w:rPr>
        <w:t xml:space="preserve">Lawrenceville, GA  •  Fredericksburg, VA  •  info@tlbrightconsulting.com  •  470-388-8449  •  tlbrightconsulting.com</w:t>
      </w:r>
    </w:p>
    <w:p>
      <w:pPr>
        <w:pBdr>
          <w:bottom w:val="single" w:color="A80000" w:sz="8" w:space="2"/>
        </w:pBdr>
        <w:spacing w:before="0" w:after="120"/>
      </w:pPr>
    </w:p>
    <w:p>
      <w:pPr>
        <w:shd w:fill="A80000" w:val="clear"/>
        <w:spacing w:before="180" w:after="8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  COMPANY OVERVIEW</w:t>
      </w:r>
    </w:p>
    <w:p>
      <w:pPr>
        <w:spacing w:before="40" w:after="50" w:line="276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1"/>
          <w:szCs w:val="21"/>
        </w:rPr>
        <w:t xml:space="preserve">T L Bright Consulting LLC is a Service-Disabled Veteran-Owned Small Business (SDVOSB) headquartered in Lawrenceville, Georgia with operations in Fredericksburg, Virginia. Founded and led by Terrance L. Bright, MBA, LSSBB, PMP — a service-disabled veteran with dual master’s degrees and more than a decade of executive leadership experience across federal agencies, Fortune 500 enterprises, and mission-driven organizations.</w:t>
      </w:r>
    </w:p>
    <w:p>
      <w:pPr>
        <w:spacing w:before="40" w:after="50" w:line="276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1"/>
          <w:szCs w:val="21"/>
        </w:rPr>
        <w:t xml:space="preserve">The firm delivers dual-domain expertise across two purpose-built, independently capable service lines that are uniquely powerful when applied together: Cybersecurity &amp; Technology Advisory and Leadership Development &amp; Workforce Training. TL Bright Consulting provides secure, scalable, and compliant technology solutions aligned to federal frameworks (NIST, CMMC, FedRAMP, Zero Trust) while simultaneously delivering evidence-based human performance programs engineered to produce measurable behavioral change at the individual, team, and organizational level.</w:t>
      </w:r>
    </w:p>
    <w:p>
      <w:pPr>
        <w:pBdr>
          <w:bottom w:val="single" w:color="D8C0C0" w:sz="4" w:space="2"/>
        </w:pBdr>
        <w:spacing w:before="80"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</w:tcPr>
          <w:p>
            <w:pPr>
              <w:spacing w:before="0" w:after="20"/>
            </w:pPr>
            <w:r>
              <w:rPr>
                <w:rFonts w:ascii="Arial" w:cs="Arial" w:eastAsia="Arial" w:hAnsi="Arial"/>
                <w:b/>
                <w:bCs/>
                <w:color w:val="A80000"/>
                <w:sz w:val="22"/>
                <w:szCs w:val="22"/>
              </w:rPr>
              <w:t xml:space="preserve">Terrance L. Bright, MBA, LSSBB, PMP</w:t>
            </w:r>
          </w:p>
          <w:p>
            <w:pPr>
              <w:spacing w:before="0" w:after="15"/>
            </w:pPr>
            <w:r>
              <w:rPr>
                <w:rFonts w:ascii="Arial" w:cs="Arial" w:eastAsia="Arial" w:hAnsi="Arial"/>
                <w:color w:val="5A5A5A"/>
                <w:sz w:val="19"/>
                <w:szCs w:val="19"/>
              </w:rPr>
              <w:t xml:space="preserve">Founder &amp; CEO  •  Point of Contact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Terrance@tlbrightconsulting.com  •  470-388-8449</w:t>
            </w:r>
          </w:p>
        </w:tc>
        <w:tc>
          <w:tcPr>
            <w:tcW w:type="dxa" w:w="468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80"/>
              <w:bottom w:type="dxa" w:w="0"/>
              <w:right w:type="dxa" w:w="0"/>
            </w:tcMar>
          </w:tcPr>
          <w:p>
            <w:pPr>
              <w:spacing w:before="0" w:after="15"/>
            </w:pPr>
            <w:r>
              <w:rPr>
                <w:rFonts w:ascii="Arial" w:cs="Arial" w:eastAsia="Arial" w:hAnsi="Arial"/>
                <w:b/>
                <w:bCs/>
                <w:color w:val="A80000"/>
                <w:sz w:val="19"/>
                <w:szCs w:val="19"/>
              </w:rPr>
              <w:t xml:space="preserve">Business Type: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 LLC — SDVOSB</w:t>
            </w:r>
          </w:p>
          <w:p>
            <w:pPr>
              <w:spacing w:before="0" w:after="15"/>
            </w:pPr>
            <w:r>
              <w:rPr>
                <w:rFonts w:ascii="Arial" w:cs="Arial" w:eastAsia="Arial" w:hAnsi="Arial"/>
                <w:b/>
                <w:bCs/>
                <w:color w:val="A80000"/>
                <w:sz w:val="19"/>
                <w:szCs w:val="19"/>
              </w:rPr>
              <w:t xml:space="preserve">Set-Aside Eligibility: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 SDVOSB • SB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b/>
                <w:bCs/>
                <w:color w:val="A80000"/>
                <w:sz w:val="19"/>
                <w:szCs w:val="19"/>
              </w:rPr>
              <w:t xml:space="preserve">Primary NAICS: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 541512 • 611430</w:t>
            </w:r>
          </w:p>
        </w:tc>
      </w:tr>
    </w:tbl>
    <w:p>
      <w:pPr>
        <w:pBdr>
          <w:bottom w:val="single" w:color="D8C0C0" w:sz="4" w:space="2"/>
        </w:pBdr>
        <w:spacing w:before="80" w:after="80"/>
      </w:pPr>
    </w:p>
    <w:p>
      <w:pPr>
        <w:shd w:fill="A80000" w:val="clear"/>
        <w:spacing w:before="180" w:after="8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  SERVICE LINE I — CYBERSECURITY &amp; TECHNOLOGY ADVISORY</w:t>
      </w:r>
    </w:p>
    <w:p>
      <w:pPr>
        <w:pBdr>
          <w:bottom w:val="single" w:color="C07070" w:sz="4" w:space="2"/>
        </w:pBdr>
        <w:spacing w:before="140" w:after="50"/>
      </w:pPr>
      <w:r>
        <w:rPr>
          <w:rFonts w:ascii="Arial" w:cs="Arial" w:eastAsia="Arial" w:hAnsi="Arial"/>
          <w:b/>
          <w:bCs/>
          <w:color w:val="A80000"/>
          <w:sz w:val="21"/>
          <w:szCs w:val="21"/>
        </w:rPr>
        <w:t xml:space="preserve">Cybersecurity &amp; Risk Management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760"/>
      </w:tblGrid>
      <w:tr>
        <w:tc>
          <w:tcPr>
            <w:tcW w:type="dxa" w:w="46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160"/>
            </w:tcMar>
          </w:tcPr>
          <w:p>
            <w:pPr>
              <w:spacing w:before="100" w:after="30"/>
            </w:pPr>
            <w:r>
              <w:rPr>
                <w:rFonts w:ascii="Arial" w:cs="Arial" w:eastAsia="Arial" w:hAnsi="Arial"/>
                <w:b/>
                <w:bCs/>
                <w:color w:val="A80000"/>
                <w:sz w:val="21"/>
                <w:szCs w:val="21"/>
              </w:rPr>
              <w:t xml:space="preserve">Virtual CISO &amp; Cyber Program Leadership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Cyber program design, roadmap development, and executive risk advisory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Board-ready risk posture metrics and defensible compliance reporting</w:t>
            </w:r>
          </w:p>
          <w:p>
            <w:pPr>
              <w:spacing w:before="100" w:after="30"/>
            </w:pPr>
            <w:r>
              <w:rPr>
                <w:rFonts w:ascii="Arial" w:cs="Arial" w:eastAsia="Arial" w:hAnsi="Arial"/>
                <w:b/>
                <w:bCs/>
                <w:color w:val="A80000"/>
                <w:sz w:val="21"/>
                <w:szCs w:val="21"/>
              </w:rPr>
              <w:t xml:space="preserve">GRC &amp; Compliance Frameworks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NIST CSF, CMMC, FedRAMP, ISO 27001, PCI DSS, GDPR, HIPAA, SOX, Zero Trust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Continuous Controls Monitoring (CCM) and audit-readiness programs</w:t>
            </w:r>
          </w:p>
        </w:tc>
        <w:tc>
          <w:tcPr>
            <w:tcW w:type="dxa" w:w="47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160"/>
            </w:tcMar>
          </w:tcPr>
          <w:p>
            <w:pPr>
              <w:spacing w:before="100" w:after="30"/>
            </w:pPr>
            <w:r>
              <w:rPr>
                <w:rFonts w:ascii="Arial" w:cs="Arial" w:eastAsia="Arial" w:hAnsi="Arial"/>
                <w:b/>
                <w:bCs/>
                <w:color w:val="A80000"/>
                <w:sz w:val="21"/>
                <w:szCs w:val="21"/>
              </w:rPr>
              <w:t xml:space="preserve">Vulnerability &amp; Threat Management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Vulnerability assessments, penetration testing, and remediation planning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AI-driven threat detection, rapid response, and biometrics authentication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SIEM, SOC-as-a-Service, intrusion detection/prevention</w:t>
            </w:r>
          </w:p>
          <w:p>
            <w:pPr>
              <w:spacing w:before="100" w:after="30"/>
            </w:pPr>
            <w:r>
              <w:rPr>
                <w:rFonts w:ascii="Arial" w:cs="Arial" w:eastAsia="Arial" w:hAnsi="Arial"/>
                <w:b/>
                <w:bCs/>
                <w:color w:val="A80000"/>
                <w:sz w:val="21"/>
                <w:szCs w:val="21"/>
              </w:rPr>
              <w:t xml:space="preserve">Identity &amp; Access Management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Patch &amp; identity access management, endpoint protection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Data Loss Prevention (DLP) and Zero-Trust Architecture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Managed firewall, web app, email security, and cloud firewalls</w:t>
            </w:r>
          </w:p>
        </w:tc>
      </w:tr>
    </w:tbl>
    <w:p>
      <w:pPr>
        <w:spacing w:before="40" w:after="0"/>
      </w:pPr>
    </w:p>
    <w:p>
      <w:pPr>
        <w:pBdr>
          <w:bottom w:val="single" w:color="C07070" w:sz="4" w:space="2"/>
        </w:pBdr>
        <w:spacing w:before="140" w:after="50"/>
      </w:pPr>
      <w:r>
        <w:rPr>
          <w:rFonts w:ascii="Arial" w:cs="Arial" w:eastAsia="Arial" w:hAnsi="Arial"/>
          <w:b/>
          <w:bCs/>
          <w:color w:val="A80000"/>
          <w:sz w:val="21"/>
          <w:szCs w:val="21"/>
        </w:rPr>
        <w:t xml:space="preserve">Cloud, Data &amp; Modernization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760"/>
      </w:tblGrid>
      <w:tr>
        <w:tc>
          <w:tcPr>
            <w:tcW w:type="dxa" w:w="46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160"/>
            </w:tcMar>
          </w:tcPr>
          <w:p>
            <w:pPr>
              <w:spacing w:before="100" w:after="30"/>
            </w:pPr>
            <w:r>
              <w:rPr>
                <w:rFonts w:ascii="Arial" w:cs="Arial" w:eastAsia="Arial" w:hAnsi="Arial"/>
                <w:b/>
                <w:bCs/>
                <w:color w:val="A80000"/>
                <w:sz w:val="21"/>
                <w:szCs w:val="21"/>
              </w:rPr>
              <w:t xml:space="preserve">Cloud Architecture &amp; Migration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Cloud architecture, migration &amp; optimization — AWS, Azure, GCP, Oracle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SaaS, PaaS, IaaS, DRaaS, BUaaS delivery models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CDN, Direct Connect, ExpressRoute, FastConnect</w:t>
            </w:r>
          </w:p>
          <w:p>
            <w:pPr>
              <w:spacing w:before="100" w:after="30"/>
            </w:pPr>
            <w:r>
              <w:rPr>
                <w:rFonts w:ascii="Arial" w:cs="Arial" w:eastAsia="Arial" w:hAnsi="Arial"/>
                <w:b/>
                <w:bCs/>
                <w:color w:val="A80000"/>
                <w:sz w:val="21"/>
                <w:szCs w:val="21"/>
              </w:rPr>
              <w:t xml:space="preserve">Data &amp; Analytics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Data Fabrics, Data Lakehouse, Predictive Analytics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AI/ML Workloads, LLM-as-a-Service, Robotic Process Automation (RPA)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DSPM and enterprise data governance</w:t>
            </w:r>
          </w:p>
        </w:tc>
        <w:tc>
          <w:tcPr>
            <w:tcW w:type="dxa" w:w="47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160"/>
            </w:tcMar>
          </w:tcPr>
          <w:p>
            <w:pPr>
              <w:spacing w:before="100" w:after="30"/>
            </w:pPr>
            <w:r>
              <w:rPr>
                <w:rFonts w:ascii="Arial" w:cs="Arial" w:eastAsia="Arial" w:hAnsi="Arial"/>
                <w:b/>
                <w:bCs/>
                <w:color w:val="A80000"/>
                <w:sz w:val="21"/>
                <w:szCs w:val="21"/>
              </w:rPr>
              <w:t xml:space="preserve">Managed IT Operations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Managed IT Operations, Helpdesk-as-a-Service, IT Outsourcing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ERP/CRM Application Management &amp; License Optimization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Enterprise mobility, cloud adoption and managed services</w:t>
            </w:r>
          </w:p>
          <w:p>
            <w:pPr>
              <w:spacing w:before="100" w:after="30"/>
            </w:pPr>
            <w:r>
              <w:rPr>
                <w:rFonts w:ascii="Arial" w:cs="Arial" w:eastAsia="Arial" w:hAnsi="Arial"/>
                <w:b/>
                <w:bCs/>
                <w:color w:val="A80000"/>
                <w:sz w:val="21"/>
                <w:szCs w:val="21"/>
              </w:rPr>
              <w:t xml:space="preserve">DevSecOps &amp; Software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DevSecOps and custom software development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CI/CD pipeline architecture and automation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Scalable, secure application delivery across hybrid environments</w:t>
            </w:r>
          </w:p>
        </w:tc>
      </w:tr>
    </w:tbl>
    <w:p>
      <w:pPr>
        <w:spacing w:before="40" w:after="0"/>
      </w:pPr>
    </w:p>
    <w:p>
      <w:pPr>
        <w:pBdr>
          <w:bottom w:val="single" w:color="C07070" w:sz="4" w:space="2"/>
        </w:pBdr>
        <w:spacing w:before="140" w:after="50"/>
      </w:pPr>
      <w:r>
        <w:rPr>
          <w:rFonts w:ascii="Arial" w:cs="Arial" w:eastAsia="Arial" w:hAnsi="Arial"/>
          <w:b/>
          <w:bCs/>
          <w:color w:val="A80000"/>
          <w:sz w:val="21"/>
          <w:szCs w:val="21"/>
        </w:rPr>
        <w:t xml:space="preserve">Customer Experience &amp; Contact Center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760"/>
      </w:tblGrid>
      <w:tr>
        <w:tc>
          <w:tcPr>
            <w:tcW w:type="dxa" w:w="46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160"/>
            </w:tcMar>
          </w:tcPr>
          <w:p>
            <w:pPr>
              <w:spacing w:before="100" w:after="30"/>
            </w:pPr>
            <w:r>
              <w:rPr>
                <w:rFonts w:ascii="Arial" w:cs="Arial" w:eastAsia="Arial" w:hAnsi="Arial"/>
                <w:b/>
                <w:bCs/>
                <w:color w:val="A80000"/>
                <w:sz w:val="21"/>
                <w:szCs w:val="21"/>
              </w:rPr>
              <w:t xml:space="preserve">Omnichannel Platforms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ACD, IVR, Dialers, Omnichannel &amp; Digital Engagement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UCaaS, CPaaS, Voice/Video, Messaging, SIP Trunks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CRM/ERP Integrations, API/SDK Enablement</w:t>
            </w:r>
          </w:p>
        </w:tc>
        <w:tc>
          <w:tcPr>
            <w:tcW w:type="dxa" w:w="47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160"/>
            </w:tcMar>
          </w:tcPr>
          <w:p>
            <w:pPr>
              <w:spacing w:before="100" w:after="30"/>
            </w:pPr>
            <w:r>
              <w:rPr>
                <w:rFonts w:ascii="Arial" w:cs="Arial" w:eastAsia="Arial" w:hAnsi="Arial"/>
                <w:b/>
                <w:bCs/>
                <w:color w:val="A80000"/>
                <w:sz w:val="21"/>
                <w:szCs w:val="21"/>
              </w:rPr>
              <w:t xml:space="preserve">AI &amp; Workforce Management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Conversational AI, Chatbots, Real-Time Agent Assist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Workforce Management, Gamification, Quality Assurance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Compliance Monitoring &amp; Call Recording</w:t>
            </w:r>
          </w:p>
        </w:tc>
      </w:tr>
    </w:tbl>
    <w:p>
      <w:pPr>
        <w:spacing w:before="40" w:after="0"/>
      </w:pPr>
    </w:p>
    <w:p>
      <w:pPr>
        <w:pBdr>
          <w:bottom w:val="single" w:color="C07070" w:sz="4" w:space="2"/>
        </w:pBdr>
        <w:spacing w:before="140" w:after="50"/>
      </w:pPr>
      <w:r>
        <w:rPr>
          <w:rFonts w:ascii="Arial" w:cs="Arial" w:eastAsia="Arial" w:hAnsi="Arial"/>
          <w:b/>
          <w:bCs/>
          <w:color w:val="A80000"/>
          <w:sz w:val="21"/>
          <w:szCs w:val="21"/>
        </w:rPr>
        <w:t xml:space="preserve">Advanced Networking &amp; IoT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760"/>
      </w:tblGrid>
      <w:tr>
        <w:tc>
          <w:tcPr>
            <w:tcW w:type="dxa" w:w="46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160"/>
            </w:tcMar>
          </w:tcPr>
          <w:p>
            <w:pPr>
              <w:spacing w:before="100" w:after="30"/>
            </w:pPr>
            <w:r>
              <w:rPr>
                <w:rFonts w:ascii="Arial" w:cs="Arial" w:eastAsia="Arial" w:hAnsi="Arial"/>
                <w:b/>
                <w:bCs/>
                <w:color w:val="A80000"/>
                <w:sz w:val="21"/>
                <w:szCs w:val="21"/>
              </w:rPr>
              <w:t xml:space="preserve">Network Architecture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SASE, CASB, Zero Trust network frameworks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SD-WAN, Intelligent Routing, Auto-Failover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Broadband, Fiber, Microwave, 4G/5G, Satellite, Managed WiFi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Network Monitoring &amp; AI-Ops</w:t>
            </w:r>
          </w:p>
        </w:tc>
        <w:tc>
          <w:tcPr>
            <w:tcW w:type="dxa" w:w="47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160"/>
            </w:tcMar>
          </w:tcPr>
          <w:p>
            <w:pPr>
              <w:spacing w:before="100" w:after="30"/>
            </w:pPr>
            <w:r>
              <w:rPr>
                <w:rFonts w:ascii="Arial" w:cs="Arial" w:eastAsia="Arial" w:hAnsi="Arial"/>
                <w:b/>
                <w:bCs/>
                <w:color w:val="A80000"/>
                <w:sz w:val="21"/>
                <w:szCs w:val="21"/>
              </w:rPr>
              <w:t xml:space="preserve">Mobility &amp; IoT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LTE/4G/5G, Private 5G, Satellite Connectivity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MDaaS, MDM, Staging/Kitting, eSIM/MultiSIM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IoT Sensors (Temperature, Pressure, Soil, Cameras, Access Control)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Computer Vision, Telematics, IoT Data Analytics</w:t>
            </w:r>
          </w:p>
        </w:tc>
      </w:tr>
    </w:tbl>
    <w:p>
      <w:pPr>
        <w:pBdr>
          <w:bottom w:val="single" w:color="D8C0C0" w:sz="4" w:space="2"/>
        </w:pBdr>
        <w:spacing w:before="80" w:after="80"/>
      </w:pPr>
    </w:p>
    <w:p>
      <w:r>
        <w:br w:type="page"/>
      </w:r>
    </w:p>
    <w:p>
      <w:pPr>
        <w:shd w:fill="A80000" w:val="clear"/>
        <w:spacing w:before="180" w:after="8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  SERVICE LINE II — LEADERSHIP DEVELOPMENT &amp; WORKFORCE TRAINING</w:t>
      </w:r>
    </w:p>
    <w:p>
      <w:pPr>
        <w:spacing w:before="40" w:after="60" w:line="276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1"/>
          <w:szCs w:val="21"/>
        </w:rPr>
        <w:t xml:space="preserve">Programs are anchored in four evidence-based core pillars — Learning Style Identification, Effective Communication, Confidence Building, and Mindset Mastery — providing agencies and organizations with a structured, repeatable framework for developing leaders, strengthening team performance, and building workforce resilience.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760"/>
      </w:tblGrid>
      <w:tr>
        <w:tc>
          <w:tcPr>
            <w:tcW w:type="dxa" w:w="46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160"/>
            </w:tcMar>
          </w:tcPr>
          <w:p>
            <w:pPr>
              <w:spacing w:before="100" w:after="30"/>
            </w:pPr>
            <w:r>
              <w:rPr>
                <w:rFonts w:ascii="Arial" w:cs="Arial" w:eastAsia="Arial" w:hAnsi="Arial"/>
                <w:b/>
                <w:bCs/>
                <w:color w:val="A80000"/>
                <w:sz w:val="21"/>
                <w:szCs w:val="21"/>
              </w:rPr>
              <w:t xml:space="preserve">Learning Style Identification &amp; Adaptive Instruction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Assessment-driven profiling (visual, auditory, kinesthetic, read/write)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Individualized and group instruction design maximizing knowledge transfer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Retention and application across diverse participant populations</w:t>
            </w:r>
          </w:p>
          <w:p>
            <w:pPr>
              <w:spacing w:before="100" w:after="30"/>
            </w:pPr>
            <w:r>
              <w:rPr>
                <w:rFonts w:ascii="Arial" w:cs="Arial" w:eastAsia="Arial" w:hAnsi="Arial"/>
                <w:b/>
                <w:bCs/>
                <w:color w:val="A80000"/>
                <w:sz w:val="21"/>
                <w:szCs w:val="21"/>
              </w:rPr>
              <w:t xml:space="preserve">Effective Communication Training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Active listening, conflict resolution, cross-functional dialogue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Feedback delivery and audience-adaptive messaging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Applicable from frontline supervisors to senior agency executives</w:t>
            </w:r>
          </w:p>
          <w:p>
            <w:pPr>
              <w:spacing w:before="100" w:after="30"/>
            </w:pPr>
            <w:r>
              <w:rPr>
                <w:rFonts w:ascii="Arial" w:cs="Arial" w:eastAsia="Arial" w:hAnsi="Arial"/>
                <w:b/>
                <w:bCs/>
                <w:color w:val="A80000"/>
                <w:sz w:val="21"/>
                <w:szCs w:val="21"/>
              </w:rPr>
              <w:t xml:space="preserve">Confidence Building &amp; Self-Efficacy Development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Progressive challenge frameworks and evidence-based reflection practices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Peer accountability systems building psychological readiness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Performance confidence in high-pressure, high-stakes environments</w:t>
            </w:r>
          </w:p>
          <w:p>
            <w:pPr>
              <w:spacing w:before="100" w:after="30"/>
            </w:pPr>
            <w:r>
              <w:rPr>
                <w:rFonts w:ascii="Arial" w:cs="Arial" w:eastAsia="Arial" w:hAnsi="Arial"/>
                <w:b/>
                <w:bCs/>
                <w:color w:val="A80000"/>
                <w:sz w:val="21"/>
                <w:szCs w:val="21"/>
              </w:rPr>
              <w:t xml:space="preserve">Athletic &amp; Performance Coaching Development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"Connecting With Your Athletes" — specialized workshop program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Communication, trust-building, and behavioral intelligence tools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Team cohesion and measurable performance outcomes across youth and adult programs</w:t>
            </w:r>
          </w:p>
        </w:tc>
        <w:tc>
          <w:tcPr>
            <w:tcW w:type="dxa" w:w="47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160"/>
            </w:tcMar>
          </w:tcPr>
          <w:p>
            <w:pPr>
              <w:spacing w:before="100" w:after="30"/>
            </w:pPr>
            <w:r>
              <w:rPr>
                <w:rFonts w:ascii="Arial" w:cs="Arial" w:eastAsia="Arial" w:hAnsi="Arial"/>
                <w:b/>
                <w:bCs/>
                <w:color w:val="A80000"/>
                <w:sz w:val="21"/>
                <w:szCs w:val="21"/>
              </w:rPr>
              <w:t xml:space="preserve">Executive Leadership Development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Leadership pipeline programs for high-potential managers and senior executives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Strategic communication, emotional intelligence, organizational influence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Change leadership proven across Fortune 500 and government environments</w:t>
            </w:r>
          </w:p>
          <w:p>
            <w:pPr>
              <w:spacing w:before="100" w:after="30"/>
            </w:pPr>
            <w:r>
              <w:rPr>
                <w:rFonts w:ascii="Arial" w:cs="Arial" w:eastAsia="Arial" w:hAnsi="Arial"/>
                <w:b/>
                <w:bCs/>
                <w:color w:val="A80000"/>
                <w:sz w:val="21"/>
                <w:szCs w:val="21"/>
              </w:rPr>
              <w:t xml:space="preserve">Mindset Mastery &amp; Resilience Architecture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Cognitive reframing tools and performance psychology principles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Stress-inoculation techniques for sustained peak decision-making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Leadership effectiveness under adversity, change, and ambiguity</w:t>
            </w:r>
          </w:p>
          <w:p>
            <w:pPr>
              <w:spacing w:before="100" w:after="30"/>
            </w:pPr>
            <w:r>
              <w:rPr>
                <w:rFonts w:ascii="Arial" w:cs="Arial" w:eastAsia="Arial" w:hAnsi="Arial"/>
                <w:b/>
                <w:bCs/>
                <w:color w:val="A80000"/>
                <w:sz w:val="21"/>
                <w:szCs w:val="21"/>
              </w:rPr>
              <w:t xml:space="preserve">Workforce Readiness &amp; Barrier Removal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Pre-employment and career readiness for veterans, justice-involved individuals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Goal-setting, professional communication, and confidence development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Underserved community workforce readiness programs</w:t>
            </w:r>
          </w:p>
          <w:p>
            <w:pPr>
              <w:spacing w:before="100" w:after="30"/>
            </w:pPr>
            <w:r>
              <w:rPr>
                <w:rFonts w:ascii="Arial" w:cs="Arial" w:eastAsia="Arial" w:hAnsi="Arial"/>
                <w:b/>
                <w:bCs/>
                <w:color w:val="A80000"/>
                <w:sz w:val="21"/>
                <w:szCs w:val="21"/>
              </w:rPr>
              <w:t xml:space="preserve">Organizational Change &amp; Culture Alignment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Change management and culture transformation consulting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Aligning workforce behaviors with organizational values and strategic direction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20" w:after="30" w:line="276" w:lineRule="auto"/>
            </w:pPr>
            <w:r>
              <w:rPr>
                <w:rFonts w:ascii="Arial" w:cs="Arial" w:eastAsia="Arial" w:hAnsi="Arial"/>
                <w:color w:val="1A1A1A"/>
                <w:sz w:val="21"/>
                <w:szCs w:val="21"/>
              </w:rPr>
              <w:t xml:space="preserve">Measurable adoption outcomes in complex, multi-stakeholder environments</w:t>
            </w:r>
          </w:p>
        </w:tc>
      </w:tr>
    </w:tbl>
    <w:p>
      <w:pPr>
        <w:pBdr>
          <w:bottom w:val="single" w:color="D8C0C0" w:sz="4" w:space="2"/>
        </w:pBdr>
        <w:spacing w:before="80" w:after="80"/>
      </w:pPr>
    </w:p>
    <w:p>
      <w:pPr>
        <w:shd w:fill="A80000" w:val="clear"/>
        <w:spacing w:before="180" w:after="8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  DIFFERENTIATORS</w:t>
      </w:r>
    </w:p>
    <w:p>
      <w:pPr>
        <w:spacing w:before="30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5E0E0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/>
                <w:bCs/>
                <w:color w:val="A80000"/>
                <w:sz w:val="20"/>
                <w:szCs w:val="20"/>
              </w:rPr>
              <w:t xml:space="preserve">Dual-Domain Integration</w:t>
            </w:r>
          </w:p>
        </w:tc>
        <w:tc>
          <w:tcPr>
            <w:tcW w:type="dxa" w:w="71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Uniquely positioned to support agencies navigating workforce change alongside technology transformation — delivering change management, adoption training, and performance coaching in parallel with technical program delivery.</w:t>
            </w:r>
          </w:p>
        </w:tc>
      </w:tr>
      <w:tr>
        <w:tc>
          <w:tcPr>
            <w:tcW w:type="dxa" w:w="22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5E0E0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/>
                <w:bCs/>
                <w:color w:val="A80000"/>
                <w:sz w:val="20"/>
                <w:szCs w:val="20"/>
              </w:rPr>
              <w:t xml:space="preserve">Practitioner-Built Methodology</w:t>
            </w:r>
          </w:p>
        </w:tc>
        <w:tc>
          <w:tcPr>
            <w:tcW w:type="dxa" w:w="71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4F4F4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Every program is designed by a practitioner with direct, lived experience in the domains being taught — athletic performance, corporate leadership, community workforce development — ensuring cultural fluency and real-world applicability that off-the-shelf training cannot replicate.</w:t>
            </w:r>
          </w:p>
        </w:tc>
      </w:tr>
      <w:tr>
        <w:tc>
          <w:tcPr>
            <w:tcW w:type="dxa" w:w="22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5E0E0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/>
                <w:bCs/>
                <w:color w:val="A80000"/>
                <w:sz w:val="20"/>
                <w:szCs w:val="20"/>
              </w:rPr>
              <w:t xml:space="preserve">Behavioral Intelligence Foundation</w:t>
            </w:r>
          </w:p>
        </w:tc>
        <w:tc>
          <w:tcPr>
            <w:tcW w:type="dxa" w:w="71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Programs are anchored in behavioral science and performance psychology — not generic motivational content — producing durable behavioral change validated across athletic, corporate, and government-adjacent environments.</w:t>
            </w:r>
          </w:p>
        </w:tc>
      </w:tr>
      <w:tr>
        <w:tc>
          <w:tcPr>
            <w:tcW w:type="dxa" w:w="22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5E0E0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/>
                <w:bCs/>
                <w:color w:val="A80000"/>
                <w:sz w:val="20"/>
                <w:szCs w:val="20"/>
              </w:rPr>
              <w:t xml:space="preserve">Federal Compliance Expertise</w:t>
            </w:r>
          </w:p>
        </w:tc>
        <w:tc>
          <w:tcPr>
            <w:tcW w:type="dxa" w:w="71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4F4F4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Federal-ready compliance expertise in NIST, CMMC, FedRAMP, and Zero Trust. Executive leadership with deep experience in cybersecurity, cloud transformation, and enterprise operations across federal and commercial sectors.</w:t>
            </w:r>
          </w:p>
        </w:tc>
      </w:tr>
      <w:tr>
        <w:tc>
          <w:tcPr>
            <w:tcW w:type="dxa" w:w="22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5E0E0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/>
                <w:bCs/>
                <w:color w:val="A80000"/>
                <w:sz w:val="20"/>
                <w:szCs w:val="20"/>
              </w:rPr>
              <w:t xml:space="preserve">Four-Pillar Scalability</w:t>
            </w:r>
          </w:p>
        </w:tc>
        <w:tc>
          <w:tcPr>
            <w:tcW w:type="dxa" w:w="71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The Learning Style Identification → Communication → Confidence → Mindset architecture is modular and scalable — deliverable as a full curriculum, individual workshops, or integrated into existing agency training programs with minimal disruption.</w:t>
            </w:r>
          </w:p>
        </w:tc>
      </w:tr>
      <w:tr>
        <w:tc>
          <w:tcPr>
            <w:tcW w:type="dxa" w:w="22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5E0E0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/>
                <w:bCs/>
                <w:color w:val="A80000"/>
                <w:sz w:val="20"/>
                <w:szCs w:val="20"/>
              </w:rPr>
              <w:t xml:space="preserve">Executive-Caliber Facilitation</w:t>
            </w:r>
          </w:p>
        </w:tc>
        <w:tc>
          <w:tcPr>
            <w:tcW w:type="dxa" w:w="71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4F4F4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Led by a former Amazon Web Services Executive Briefing Center presenter with experience engaging C-suite, agency leadership, and cross-functional teams — ensuring programs and solutions are delivered at the caliber federal agency leaders expect.</w:t>
            </w:r>
          </w:p>
        </w:tc>
      </w:tr>
      <w:tr>
        <w:tc>
          <w:tcPr>
            <w:tcW w:type="dxa" w:w="22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5E0E0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/>
                <w:bCs/>
                <w:color w:val="A80000"/>
                <w:sz w:val="20"/>
                <w:szCs w:val="20"/>
              </w:rPr>
              <w:t xml:space="preserve">SDVOSB Set-Aside Eligibility</w:t>
            </w:r>
          </w:p>
        </w:tc>
        <w:tc>
          <w:tcPr>
            <w:tcW w:type="dxa" w:w="71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Qualifies for SDVOSB set-aside contract vehicles under FAR Part 19 and VA’s Vets First Contracting Program — providing contracting officers with both small business and SDVOSB socioeconomic credit toward agency goals.</w:t>
            </w:r>
          </w:p>
        </w:tc>
      </w:tr>
      <w:tr>
        <w:tc>
          <w:tcPr>
            <w:tcW w:type="dxa" w:w="22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5E0E0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/>
                <w:bCs/>
                <w:color w:val="A80000"/>
                <w:sz w:val="20"/>
                <w:szCs w:val="20"/>
              </w:rPr>
              <w:t xml:space="preserve">Scalable AI-Enabled Delivery</w:t>
            </w:r>
          </w:p>
        </w:tc>
        <w:tc>
          <w:tcPr>
            <w:tcW w:type="dxa" w:w="71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4F4F4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AI-enabled optimization across security, operations, analytics, and customer experience. Unified modernization capabilities across cyber, cloud, mobility, CX, networking, and IoT in a single scalable delivery model.</w:t>
            </w:r>
          </w:p>
        </w:tc>
      </w:tr>
    </w:tbl>
    <w:p>
      <w:pPr>
        <w:pBdr>
          <w:bottom w:val="single" w:color="D8C0C0" w:sz="4" w:space="2"/>
        </w:pBdr>
        <w:spacing w:before="80" w:after="80"/>
      </w:pPr>
    </w:p>
    <w:p>
      <w:pPr>
        <w:shd w:fill="A80000" w:val="clear"/>
        <w:spacing w:before="180" w:after="8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  PAST PERFORMANCE</w:t>
      </w:r>
    </w:p>
    <w:p>
      <w:pPr>
        <w:spacing w:before="40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60"/>
      </w:tblGrid>
      <w:tr>
        <w:trPr>
          <w:tblHeader/>
        </w:trPr>
        <w:tc>
          <w:tcPr>
            <w:tcW w:type="dxa" w:w="3400"/>
            <w:tcBorders>
              <w:top w:val="single" w:color="A80000" w:sz="6"/>
              <w:left w:val="single" w:color="A80000" w:sz="6"/>
              <w:bottom w:val="single" w:color="A80000" w:sz="6"/>
              <w:right w:val="single" w:color="A80000" w:sz="6"/>
            </w:tcBorders>
            <w:shd w:fill="A8000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Engagement</w:t>
            </w:r>
          </w:p>
        </w:tc>
        <w:tc>
          <w:tcPr>
            <w:tcW w:type="dxa" w:w="5960"/>
            <w:tcBorders>
              <w:top w:val="single" w:color="A80000" w:sz="6"/>
              <w:left w:val="single" w:color="A80000" w:sz="6"/>
              <w:bottom w:val="single" w:color="A80000" w:sz="6"/>
              <w:right w:val="single" w:color="A80000" w:sz="6"/>
            </w:tcBorders>
            <w:shd w:fill="A8000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Summary of Performance</w:t>
            </w:r>
          </w:p>
        </w:tc>
      </w:tr>
      <w:tr>
        <w:tc>
          <w:tcPr>
            <w:tcW w:type="dxa" w:w="34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before="0" w:after="30"/>
            </w:pPr>
            <w:r>
              <w:rPr>
                <w:rFonts w:ascii="Arial" w:cs="Arial" w:eastAsia="Arial" w:hAnsi="Arial"/>
                <w:b/>
                <w:bCs/>
                <w:color w:val="A80000"/>
                <w:sz w:val="20"/>
                <w:szCs w:val="20"/>
              </w:rPr>
              <w:t xml:space="preserve">Enterprise Cloud Transformation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i/>
                <w:iCs/>
                <w:color w:val="5A5A5A"/>
                <w:sz w:val="19"/>
                <w:szCs w:val="19"/>
              </w:rPr>
              <w:t xml:space="preserve">Amazon Web Services (AWS)</w:t>
            </w:r>
          </w:p>
        </w:tc>
        <w:tc>
          <w:tcPr>
            <w:tcW w:type="dxa" w:w="59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Directed $100M+ in global cloud transformation initiatives across 25+ enterprise accounts. Oversaw $1B multi-year Accenture engagement managing 30–40 operations specialists. Achieved 92% cloud-native adoption rate, 98% on-time delivery, and 4.8/5 CSAT across Fortune 500 clients.</w:t>
            </w:r>
          </w:p>
        </w:tc>
      </w:tr>
      <w:tr>
        <w:tc>
          <w:tcPr>
            <w:tcW w:type="dxa" w:w="34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before="0" w:after="30"/>
            </w:pPr>
            <w:r>
              <w:rPr>
                <w:rFonts w:ascii="Arial" w:cs="Arial" w:eastAsia="Arial" w:hAnsi="Arial"/>
                <w:b/>
                <w:bCs/>
                <w:color w:val="A80000"/>
                <w:sz w:val="20"/>
                <w:szCs w:val="20"/>
              </w:rPr>
              <w:t xml:space="preserve">Leadership Communication &amp; Organizational Change Training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i/>
                <w:iCs/>
                <w:color w:val="5A5A5A"/>
                <w:sz w:val="19"/>
                <w:szCs w:val="19"/>
              </w:rPr>
              <w:t xml:space="preserve">Amazon Web Services (AWS)</w:t>
            </w:r>
          </w:p>
        </w:tc>
        <w:tc>
          <w:tcPr>
            <w:tcW w:type="dxa" w:w="59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Designed and facilitated leadership communication and change training programs supporting adoption of new operational frameworks across global enterprise delivery teams. Achieved 92% adoption rates with 45% measurable reduction in stakeholder resistance. Developed 12+ leadership playbooks scaled across AWS global teams.</w:t>
            </w:r>
          </w:p>
        </w:tc>
      </w:tr>
      <w:tr>
        <w:tc>
          <w:tcPr>
            <w:tcW w:type="dxa" w:w="34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before="0" w:after="30"/>
            </w:pPr>
            <w:r>
              <w:rPr>
                <w:rFonts w:ascii="Arial" w:cs="Arial" w:eastAsia="Arial" w:hAnsi="Arial"/>
                <w:b/>
                <w:bCs/>
                <w:color w:val="A80000"/>
                <w:sz w:val="20"/>
                <w:szCs w:val="20"/>
              </w:rPr>
              <w:t xml:space="preserve">Executive Briefing &amp; Strategic Leadership Communication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i/>
                <w:iCs/>
                <w:color w:val="5A5A5A"/>
                <w:sz w:val="19"/>
                <w:szCs w:val="19"/>
              </w:rPr>
              <w:t xml:space="preserve">AWS Executive Briefing Center (EBC)</w:t>
            </w:r>
          </w:p>
        </w:tc>
        <w:tc>
          <w:tcPr>
            <w:tcW w:type="dxa" w:w="59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Served as EBC presenter delivering strategic leadership and technology briefings to C-suite audiences at enterprise client sites. Developed executive-level communication frameworks adopted as standard practice across global account teams.</w:t>
            </w:r>
          </w:p>
        </w:tc>
      </w:tr>
      <w:tr>
        <w:tc>
          <w:tcPr>
            <w:tcW w:type="dxa" w:w="34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before="0" w:after="30"/>
            </w:pPr>
            <w:r>
              <w:rPr>
                <w:rFonts w:ascii="Arial" w:cs="Arial" w:eastAsia="Arial" w:hAnsi="Arial"/>
                <w:b/>
                <w:bCs/>
                <w:color w:val="A80000"/>
                <w:sz w:val="20"/>
                <w:szCs w:val="20"/>
              </w:rPr>
              <w:t xml:space="preserve">Enterprise Account Management &amp; Customer Success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i/>
                <w:iCs/>
                <w:color w:val="5A5A5A"/>
                <w:sz w:val="19"/>
                <w:szCs w:val="19"/>
              </w:rPr>
              <w:t xml:space="preserve">Hewlett Packard Enterprise (HPE)</w:t>
            </w:r>
          </w:p>
        </w:tc>
        <w:tc>
          <w:tcPr>
            <w:tcW w:type="dxa" w:w="59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Managed $40M enterprise account portfolio achieving 40% YoY channel revenue growth. Directed modernization programs for 20+ Fortune 500 clients. Reduced incident escalations by 60%, system outages by 85%, and improved CSAT/DSAT by 50%.</w:t>
            </w:r>
          </w:p>
        </w:tc>
      </w:tr>
      <w:tr>
        <w:tc>
          <w:tcPr>
            <w:tcW w:type="dxa" w:w="34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before="0" w:after="30"/>
            </w:pPr>
            <w:r>
              <w:rPr>
                <w:rFonts w:ascii="Arial" w:cs="Arial" w:eastAsia="Arial" w:hAnsi="Arial"/>
                <w:b/>
                <w:bCs/>
                <w:color w:val="A80000"/>
                <w:sz w:val="20"/>
                <w:szCs w:val="20"/>
              </w:rPr>
              <w:t xml:space="preserve">Athletic Coaching Development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i/>
                <w:iCs/>
                <w:color w:val="5A5A5A"/>
                <w:sz w:val="19"/>
                <w:szCs w:val="19"/>
              </w:rPr>
              <w:t xml:space="preserve">"Connecting With Your Athletes" Program</w:t>
            </w:r>
          </w:p>
        </w:tc>
        <w:tc>
          <w:tcPr>
            <w:tcW w:type="dxa" w:w="59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Developed and delivered structured coach development workshops equipping coaches with communication frameworks, trust-building tools, and performance psychology principles. Applied behavioral intelligence methodology across youth and adult athletic programs producing measurable performance outcomes.</w:t>
            </w:r>
          </w:p>
        </w:tc>
      </w:tr>
      <w:tr>
        <w:tc>
          <w:tcPr>
            <w:tcW w:type="dxa" w:w="34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before="0" w:after="30"/>
            </w:pPr>
            <w:r>
              <w:rPr>
                <w:rFonts w:ascii="Arial" w:cs="Arial" w:eastAsia="Arial" w:hAnsi="Arial"/>
                <w:b/>
                <w:bCs/>
                <w:color w:val="A80000"/>
                <w:sz w:val="20"/>
                <w:szCs w:val="20"/>
              </w:rPr>
              <w:t xml:space="preserve">Workforce Development &amp; People Management Training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i/>
                <w:iCs/>
                <w:color w:val="5A5A5A"/>
                <w:sz w:val="19"/>
                <w:szCs w:val="19"/>
              </w:rPr>
              <w:t xml:space="preserve">Fortune 500 Corporate Clients</w:t>
            </w:r>
          </w:p>
        </w:tc>
        <w:tc>
          <w:tcPr>
            <w:tcW w:type="dxa" w:w="59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4F4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Delivered people management and leadership development programs addressing emotional intelligence, performance accountability, communication effectiveness, and change resilience. Produced measurable improvements in team retention, engagement, and operational productivity.</w:t>
            </w:r>
          </w:p>
        </w:tc>
      </w:tr>
      <w:tr>
        <w:tc>
          <w:tcPr>
            <w:tcW w:type="dxa" w:w="34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before="0" w:after="30"/>
            </w:pPr>
            <w:r>
              <w:rPr>
                <w:rFonts w:ascii="Arial" w:cs="Arial" w:eastAsia="Arial" w:hAnsi="Arial"/>
                <w:b/>
                <w:bCs/>
                <w:color w:val="A80000"/>
                <w:sz w:val="20"/>
                <w:szCs w:val="20"/>
              </w:rPr>
              <w:t xml:space="preserve">IT Security Engineering &amp; Infrastructure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i/>
                <w:iCs/>
                <w:color w:val="5A5A5A"/>
                <w:sz w:val="19"/>
                <w:szCs w:val="19"/>
              </w:rPr>
              <w:t xml:space="preserve">U.S. Army, Fort Bragg</w:t>
            </w:r>
          </w:p>
        </w:tc>
        <w:tc>
          <w:tcPr>
            <w:tcW w:type="dxa" w:w="59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Configured and hardened network infrastructure (Cisco ASA, Sourcefire), evaluated FISMA-based incident response policies, and served as primary point of contact for cloud system transition initiatives. Delivered executive-level security briefings to senior military leadership.</w:t>
            </w:r>
          </w:p>
        </w:tc>
      </w:tr>
    </w:tbl>
    <w:p>
      <w:pPr>
        <w:pBdr>
          <w:bottom w:val="single" w:color="D8C0C0" w:sz="4" w:space="2"/>
        </w:pBdr>
        <w:spacing w:before="80" w:after="80"/>
      </w:pPr>
    </w:p>
    <w:p>
      <w:pPr>
        <w:shd w:fill="A80000" w:val="clear"/>
        <w:spacing w:before="180" w:after="8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  NAICS CODES</w:t>
      </w:r>
    </w:p>
    <w:p>
      <w:pPr>
        <w:spacing w:before="40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760"/>
      </w:tblGrid>
      <w:tr>
        <w:trPr>
          <w:tblHeader/>
        </w:trPr>
        <w:tc>
          <w:tcPr>
            <w:tcW w:type="dxa" w:w="1600"/>
            <w:tcBorders>
              <w:top w:val="single" w:color="A80000" w:sz="6"/>
              <w:left w:val="single" w:color="A80000" w:sz="6"/>
              <w:bottom w:val="single" w:color="A80000" w:sz="6"/>
              <w:right w:val="single" w:color="A80000" w:sz="6"/>
            </w:tcBorders>
            <w:shd w:fill="A80000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Code</w:t>
            </w:r>
          </w:p>
        </w:tc>
        <w:tc>
          <w:tcPr>
            <w:tcW w:type="dxa" w:w="7760"/>
            <w:tcBorders>
              <w:top w:val="single" w:color="A80000" w:sz="6"/>
              <w:left w:val="single" w:color="A80000" w:sz="6"/>
              <w:bottom w:val="single" w:color="A80000" w:sz="6"/>
              <w:right w:val="single" w:color="A80000" w:sz="6"/>
            </w:tcBorders>
            <w:shd w:fill="A80000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Description</w:t>
            </w:r>
          </w:p>
        </w:tc>
      </w:tr>
      <w:tr>
        <w:tc>
          <w:tcPr>
            <w:tcW w:type="dxa" w:w="16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/>
                <w:bCs/>
                <w:color w:val="A80000"/>
                <w:sz w:val="19"/>
                <w:szCs w:val="19"/>
              </w:rPr>
              <w:t xml:space="preserve">541512</w:t>
            </w:r>
          </w:p>
        </w:tc>
        <w:tc>
          <w:tcPr>
            <w:tcW w:type="dxa" w:w="77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/>
                <w:bCs/>
                <w:color w:val="A80000"/>
                <w:sz w:val="19"/>
                <w:szCs w:val="19"/>
              </w:rPr>
              <w:t xml:space="preserve">Computer Systems Design Services — PRIMARY</w:t>
            </w:r>
          </w:p>
        </w:tc>
      </w:tr>
      <w:tr>
        <w:tc>
          <w:tcPr>
            <w:tcW w:type="dxa" w:w="16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4F4F4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541513</w:t>
            </w:r>
          </w:p>
        </w:tc>
        <w:tc>
          <w:tcPr>
            <w:tcW w:type="dxa" w:w="77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4F4F4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Computer Facilities Management Services</w:t>
            </w:r>
          </w:p>
        </w:tc>
      </w:tr>
      <w:tr>
        <w:tc>
          <w:tcPr>
            <w:tcW w:type="dxa" w:w="16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541519</w:t>
            </w:r>
          </w:p>
        </w:tc>
        <w:tc>
          <w:tcPr>
            <w:tcW w:type="dxa" w:w="77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Other Computer Related Services</w:t>
            </w:r>
          </w:p>
        </w:tc>
      </w:tr>
      <w:tr>
        <w:tc>
          <w:tcPr>
            <w:tcW w:type="dxa" w:w="16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4F4F4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/>
                <w:bCs/>
                <w:color w:val="A80000"/>
                <w:sz w:val="19"/>
                <w:szCs w:val="19"/>
              </w:rPr>
              <w:t xml:space="preserve">611430</w:t>
            </w:r>
          </w:p>
        </w:tc>
        <w:tc>
          <w:tcPr>
            <w:tcW w:type="dxa" w:w="77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4F4F4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/>
                <w:bCs/>
                <w:color w:val="A80000"/>
                <w:sz w:val="19"/>
                <w:szCs w:val="19"/>
              </w:rPr>
              <w:t xml:space="preserve">Professional &amp; Management Development Training — PRIMARY</w:t>
            </w:r>
          </w:p>
        </w:tc>
      </w:tr>
      <w:tr>
        <w:tc>
          <w:tcPr>
            <w:tcW w:type="dxa" w:w="16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541611</w:t>
            </w:r>
          </w:p>
        </w:tc>
        <w:tc>
          <w:tcPr>
            <w:tcW w:type="dxa" w:w="77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Administrative Management &amp; General Management Consulting Services</w:t>
            </w:r>
          </w:p>
        </w:tc>
      </w:tr>
      <w:tr>
        <w:tc>
          <w:tcPr>
            <w:tcW w:type="dxa" w:w="16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4F4F4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541612</w:t>
            </w:r>
          </w:p>
        </w:tc>
        <w:tc>
          <w:tcPr>
            <w:tcW w:type="dxa" w:w="77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4F4F4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Human Resources Consulting Services</w:t>
            </w:r>
          </w:p>
        </w:tc>
      </w:tr>
      <w:tr>
        <w:tc>
          <w:tcPr>
            <w:tcW w:type="dxa" w:w="16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541618</w:t>
            </w:r>
          </w:p>
        </w:tc>
        <w:tc>
          <w:tcPr>
            <w:tcW w:type="dxa" w:w="77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Other Management Consulting Services</w:t>
            </w:r>
          </w:p>
        </w:tc>
      </w:tr>
      <w:tr>
        <w:tc>
          <w:tcPr>
            <w:tcW w:type="dxa" w:w="16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4F4F4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541690</w:t>
            </w:r>
          </w:p>
        </w:tc>
        <w:tc>
          <w:tcPr>
            <w:tcW w:type="dxa" w:w="77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4F4F4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Other Scientific &amp; Technical Consulting Services</w:t>
            </w:r>
          </w:p>
        </w:tc>
      </w:tr>
      <w:tr>
        <w:tc>
          <w:tcPr>
            <w:tcW w:type="dxa" w:w="16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518210</w:t>
            </w:r>
          </w:p>
        </w:tc>
        <w:tc>
          <w:tcPr>
            <w:tcW w:type="dxa" w:w="77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Data Processing, Hosting, and Related Services</w:t>
            </w:r>
          </w:p>
        </w:tc>
      </w:tr>
      <w:tr>
        <w:tc>
          <w:tcPr>
            <w:tcW w:type="dxa" w:w="16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4F4F4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517911</w:t>
            </w:r>
          </w:p>
        </w:tc>
        <w:tc>
          <w:tcPr>
            <w:tcW w:type="dxa" w:w="77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4F4F4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Telecommunications Resellers</w:t>
            </w:r>
          </w:p>
        </w:tc>
      </w:tr>
      <w:tr>
        <w:tc>
          <w:tcPr>
            <w:tcW w:type="dxa" w:w="16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517312</w:t>
            </w:r>
          </w:p>
        </w:tc>
        <w:tc>
          <w:tcPr>
            <w:tcW w:type="dxa" w:w="77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Wireless Telecommunications Carriers (except Satellite)</w:t>
            </w:r>
          </w:p>
        </w:tc>
      </w:tr>
      <w:tr>
        <w:tc>
          <w:tcPr>
            <w:tcW w:type="dxa" w:w="16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4F4F4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541330</w:t>
            </w:r>
          </w:p>
        </w:tc>
        <w:tc>
          <w:tcPr>
            <w:tcW w:type="dxa" w:w="77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4F4F4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Engineering Services</w:t>
            </w:r>
          </w:p>
        </w:tc>
      </w:tr>
      <w:tr>
        <w:tc>
          <w:tcPr>
            <w:tcW w:type="dxa" w:w="16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611699</w:t>
            </w:r>
          </w:p>
        </w:tc>
        <w:tc>
          <w:tcPr>
            <w:tcW w:type="dxa" w:w="77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All Other Miscellaneous Schools &amp; Instruction</w:t>
            </w:r>
          </w:p>
        </w:tc>
      </w:tr>
      <w:tr>
        <w:tc>
          <w:tcPr>
            <w:tcW w:type="dxa" w:w="16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4F4F4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611710</w:t>
            </w:r>
          </w:p>
        </w:tc>
        <w:tc>
          <w:tcPr>
            <w:tcW w:type="dxa" w:w="77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4F4F4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Educational Support Services</w:t>
            </w:r>
          </w:p>
        </w:tc>
      </w:tr>
      <w:tr>
        <w:tc>
          <w:tcPr>
            <w:tcW w:type="dxa" w:w="16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624190</w:t>
            </w:r>
          </w:p>
        </w:tc>
        <w:tc>
          <w:tcPr>
            <w:tcW w:type="dxa" w:w="776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9"/>
                <w:szCs w:val="19"/>
              </w:rPr>
              <w:t xml:space="preserve">Other Individual &amp; Family Services</w:t>
            </w:r>
          </w:p>
        </w:tc>
      </w:tr>
    </w:tbl>
    <w:p>
      <w:pPr>
        <w:pBdr>
          <w:bottom w:val="single" w:color="D8C0C0" w:sz="4" w:space="2"/>
        </w:pBdr>
        <w:spacing w:before="80" w:after="80"/>
      </w:pPr>
    </w:p>
    <w:p>
      <w:pPr>
        <w:shd w:fill="A80000" w:val="clear"/>
        <w:spacing w:before="180" w:after="8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  BUSINESS DATA</w:t>
      </w:r>
    </w:p>
    <w:p>
      <w:pPr>
        <w:spacing w:before="40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880"/>
        <w:gridCol w:w="1800"/>
        <w:gridCol w:w="2880"/>
      </w:tblGrid>
      <w:tr>
        <w:tc>
          <w:tcPr>
            <w:tcW w:type="dxa" w:w="18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5E0E0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/>
                <w:bCs/>
                <w:color w:val="A80000"/>
                <w:sz w:val="19"/>
                <w:szCs w:val="19"/>
              </w:rPr>
              <w:t xml:space="preserve">Business Type</w:t>
            </w:r>
          </w:p>
        </w:tc>
        <w:tc>
          <w:tcPr>
            <w:tcW w:type="dxa" w:w="288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LLC — Service-Disabled Veteran-Owned Small Business (SDVOSB)</w:t>
            </w:r>
          </w:p>
        </w:tc>
        <w:tc>
          <w:tcPr>
            <w:tcW w:type="dxa" w:w="18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5E0E0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/>
                <w:bCs/>
                <w:color w:val="A80000"/>
                <w:sz w:val="19"/>
                <w:szCs w:val="19"/>
              </w:rPr>
              <w:t xml:space="preserve">State of Incorporation</w:t>
            </w:r>
          </w:p>
        </w:tc>
        <w:tc>
          <w:tcPr>
            <w:tcW w:type="dxa" w:w="288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Georgia</w:t>
            </w:r>
          </w:p>
        </w:tc>
      </w:tr>
      <w:tr>
        <w:tc>
          <w:tcPr>
            <w:tcW w:type="dxa" w:w="18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5E0E0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/>
                <w:bCs/>
                <w:color w:val="A80000"/>
                <w:sz w:val="19"/>
                <w:szCs w:val="19"/>
              </w:rPr>
              <w:t xml:space="preserve">Primary NAICS</w:t>
            </w:r>
          </w:p>
        </w:tc>
        <w:tc>
          <w:tcPr>
            <w:tcW w:type="dxa" w:w="288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4F4F4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541512 • 611430</w:t>
            </w:r>
          </w:p>
        </w:tc>
        <w:tc>
          <w:tcPr>
            <w:tcW w:type="dxa" w:w="18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5E0E0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/>
                <w:bCs/>
                <w:color w:val="A80000"/>
                <w:sz w:val="19"/>
                <w:szCs w:val="19"/>
              </w:rPr>
              <w:t xml:space="preserve">Set-Aside Eligibility</w:t>
            </w:r>
          </w:p>
        </w:tc>
        <w:tc>
          <w:tcPr>
            <w:tcW w:type="dxa" w:w="288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4F4F4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SDVOSB • SB</w:t>
            </w:r>
          </w:p>
        </w:tc>
      </w:tr>
      <w:tr>
        <w:tc>
          <w:tcPr>
            <w:tcW w:type="dxa" w:w="18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5E0E0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/>
                <w:bCs/>
                <w:color w:val="A80000"/>
                <w:sz w:val="19"/>
                <w:szCs w:val="19"/>
              </w:rPr>
              <w:t xml:space="preserve">Point of Contact</w:t>
            </w:r>
          </w:p>
        </w:tc>
        <w:tc>
          <w:tcPr>
            <w:tcW w:type="dxa" w:w="288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Terrance L. Bright, MBA, LSSBB, PMP</w:t>
            </w:r>
          </w:p>
        </w:tc>
        <w:tc>
          <w:tcPr>
            <w:tcW w:type="dxa" w:w="18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5E0E0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/>
                <w:bCs/>
                <w:color w:val="A80000"/>
                <w:sz w:val="19"/>
                <w:szCs w:val="19"/>
              </w:rPr>
              <w:t xml:space="preserve">Website</w:t>
            </w:r>
          </w:p>
        </w:tc>
        <w:tc>
          <w:tcPr>
            <w:tcW w:type="dxa" w:w="288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tlbrightconsulting.com</w:t>
            </w:r>
          </w:p>
        </w:tc>
      </w:tr>
      <w:tr>
        <w:tc>
          <w:tcPr>
            <w:tcW w:type="dxa" w:w="18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5E0E0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/>
                <w:bCs/>
                <w:color w:val="A80000"/>
                <w:sz w:val="19"/>
                <w:szCs w:val="19"/>
              </w:rPr>
              <w:t xml:space="preserve">Phone</w:t>
            </w:r>
          </w:p>
        </w:tc>
        <w:tc>
          <w:tcPr>
            <w:tcW w:type="dxa" w:w="288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4F4F4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470-388-8449</w:t>
            </w:r>
          </w:p>
        </w:tc>
        <w:tc>
          <w:tcPr>
            <w:tcW w:type="dxa" w:w="18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5E0E0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/>
                <w:bCs/>
                <w:color w:val="A80000"/>
                <w:sz w:val="19"/>
                <w:szCs w:val="19"/>
              </w:rPr>
              <w:t xml:space="preserve">Email</w:t>
            </w:r>
          </w:p>
        </w:tc>
        <w:tc>
          <w:tcPr>
            <w:tcW w:type="dxa" w:w="288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4F4F4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info@tlbrightconsulting.com</w:t>
            </w:r>
          </w:p>
        </w:tc>
      </w:tr>
      <w:tr>
        <w:tc>
          <w:tcPr>
            <w:tcW w:type="dxa" w:w="18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5E0E0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/>
                <w:bCs/>
                <w:color w:val="A80000"/>
                <w:sz w:val="19"/>
                <w:szCs w:val="19"/>
              </w:rPr>
              <w:t xml:space="preserve">Primary Locations</w:t>
            </w:r>
          </w:p>
        </w:tc>
        <w:tc>
          <w:tcPr>
            <w:tcW w:type="dxa" w:w="288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Lawrenceville, GA • Fredericksburg, VA</w:t>
            </w:r>
          </w:p>
        </w:tc>
        <w:tc>
          <w:tcPr>
            <w:tcW w:type="dxa" w:w="180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5E0E0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b/>
                <w:bCs/>
                <w:color w:val="A80000"/>
                <w:sz w:val="19"/>
                <w:szCs w:val="19"/>
              </w:rPr>
              <w:t xml:space="preserve">UEI / CAGE</w:t>
            </w:r>
          </w:p>
        </w:tc>
        <w:tc>
          <w:tcPr>
            <w:tcW w:type="dxa" w:w="2880"/>
            <w:tcBorders>
              <w:top w:val="single" w:color="D8C0C0" w:sz="4"/>
              <w:left w:val="single" w:color="D8C0C0" w:sz="4"/>
              <w:bottom w:val="single" w:color="D8C0C0" w:sz="4"/>
              <w:right w:val="single" w:color="D8C0C0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before="0" w:after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[To be inserted]</w:t>
            </w:r>
          </w:p>
        </w:tc>
      </w:tr>
    </w:tbl>
    <w:p>
      <w:pPr>
        <w:spacing w:before="120" w:after="0"/>
      </w:pPr>
    </w:p>
    <w:p>
      <w:pPr>
        <w:spacing w:before="0" w:after="0"/>
        <w:jc w:val="center"/>
      </w:pPr>
      <w:r>
        <w:rPr>
          <w:rFonts w:ascii="Centaur" w:cs="Centaur" w:eastAsia="Centaur" w:hAnsi="Centaur"/>
          <w:b/>
          <w:bCs/>
          <w:i/>
          <w:iCs/>
          <w:color w:val="A80000"/>
          <w:sz w:val="22"/>
          <w:szCs w:val="22"/>
        </w:rPr>
        <w:t xml:space="preserve">T L Bright Consulting LLC  —  “Powered by integrity. Delivered with precision.”</w:t>
      </w:r>
    </w:p>
    <w:sectPr>
      <w:headerReference w:type="default" r:id="rId6"/>
      <w:footerReference w:type="default" r:id="rId7"/>
      <w:pgSz w:w="12240" w:h="15840" w:orient="portrait"/>
      <w:pgMar w:top="1000" w:right="1080" w:bottom="900" w:left="1080" w:header="700" w:footer="72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A80000" w:sz="6" w:space="4"/>
      </w:pBdr>
      <w:spacing w:before="80" w:after="0"/>
      <w:jc w:val="center"/>
    </w:pPr>
    <w:r>
      <w:rPr>
        <w:rFonts w:ascii="Arial" w:cs="Arial" w:eastAsia="Arial" w:hAnsi="Arial"/>
        <w:color w:val="5A5A5A"/>
        <w:sz w:val="17"/>
        <w:szCs w:val="17"/>
      </w:rPr>
      <w:t xml:space="preserve">© 2025 by T L Bright Consulting, All Rights Reserved  •  info@tlbrightconsulting.com  •  470-388-8449  •  tlbrightconsulting.com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0821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1364"/>
      <w:gridCol w:w="9457"/>
    </w:tblGrid>
    <w:tr>
      <w:tc>
        <w:tcPr>
          <w:tcW w:type="dxa" w:w="1364"/>
          <w:tcBorders>
            <w:top w:val="nil" w:color="FFFFFF" w:sz="0"/>
            <w:left w:val="nil" w:color="FFFFFF" w:sz="0"/>
            <w:bottom w:val="nil" w:color="FFFFFF" w:sz="0"/>
            <w:right w:val="nil" w:color="FFFFFF" w:sz="0"/>
          </w:tcBorders>
          <w:tcMar>
            <w:top w:type="dxa" w:w="0"/>
            <w:left w:type="dxa" w:w="0"/>
            <w:bottom w:type="dxa" w:w="0"/>
            <w:right w:type="dxa" w:w="100"/>
          </w:tcMar>
        </w:tcPr>
        <w:p>
          <w:pPr>
            <w:spacing w:before="0" w:after="0"/>
          </w:pPr>
          <w:r>
            <w:drawing>
              <wp:inline distT="0" distB="0" distL="0" distR="0">
                <wp:extent cx="466725" cy="742950"/>
                <wp:effectExtent t="0" r="0" b="0" l="0"/>
                <wp:docPr id="1" name="logo" descr="logo" title="TL Brigh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457"/>
          <w:tcBorders>
            <w:top w:val="nil" w:color="FFFFFF" w:sz="0"/>
            <w:left w:val="nil" w:color="FFFFFF" w:sz="0"/>
            <w:bottom w:val="nil" w:color="FFFFFF" w:sz="0"/>
            <w:right w:val="nil" w:color="FFFFFF" w:sz="0"/>
          </w:tcBorders>
          <w:tcMar>
            <w:top w:type="dxa" w:w="0"/>
            <w:left w:type="dxa" w:w="120"/>
            <w:bottom w:type="dxa" w:w="0"/>
            <w:right w:type="dxa" w:w="0"/>
          </w:tcMar>
          <w:vAlign w:val="center"/>
        </w:tcPr>
        <w:p>
          <w:pPr>
            <w:spacing w:before="0" w:after="20"/>
          </w:pPr>
          <w:r>
            <w:rPr>
              <w:rFonts w:ascii="Arial" w:cs="Arial" w:eastAsia="Arial" w:hAnsi="Arial"/>
              <w:b/>
              <w:bCs/>
              <w:color w:val="A80000"/>
              <w:sz w:val="34"/>
              <w:szCs w:val="34"/>
            </w:rPr>
            <w:t xml:space="preserve">T L Bright Consulting</w:t>
          </w:r>
        </w:p>
        <w:p>
          <w:pPr>
            <w:spacing w:before="0" w:after="0"/>
          </w:pPr>
          <w:r>
            <w:rPr>
              <w:rFonts w:ascii="Centaur" w:cs="Centaur" w:eastAsia="Centaur" w:hAnsi="Centaur"/>
              <w:b/>
              <w:bCs/>
              <w:color w:val="1A1A1A"/>
              <w:sz w:val="18"/>
              <w:szCs w:val="18"/>
            </w:rPr>
            <w:t xml:space="preserve">Your Dedicated Partner In Business Transformation</w:t>
          </w:r>
        </w:p>
      </w:tc>
    </w:tr>
  </w:tbl>
  <w:p>
    <w:pPr>
      <w:pBdr>
        <w:bottom w:val="single" w:color="A80000" w:sz="12" w:space="4"/>
      </w:pBdr>
      <w:spacing w:before="80"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◆"/>
      <w:lvlJc w:val="left"/>
      <w:pPr>
        <w:ind w:left="58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e7f154768cf59e664cd2aa6dc9dff37beaeeafd0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2026-04-08T16:22:10.130Z</dcterms:created>
  <dcterms:modified xsi:type="dcterms:W3CDTF">2026-04-08T16:22:10.131Z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